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BECF" w14:textId="07ABA883" w:rsidR="00757B0A" w:rsidRPr="00757B0A" w:rsidRDefault="00757B0A" w:rsidP="00D8075F">
      <w:pPr>
        <w:shd w:val="clear" w:color="auto" w:fill="FFFFFF"/>
        <w:spacing w:before="225" w:after="240" w:line="240" w:lineRule="auto"/>
        <w:rPr>
          <w:rFonts w:eastAsia="Times New Roman"/>
          <w:bCs/>
          <w:color w:val="7030A0"/>
          <w:sz w:val="32"/>
          <w:szCs w:val="32"/>
          <w:lang w:eastAsia="en-NZ"/>
        </w:rPr>
      </w:pPr>
      <w:r w:rsidRPr="00757B0A">
        <w:rPr>
          <w:rFonts w:eastAsia="Times New Roman"/>
          <w:bCs/>
          <w:color w:val="7030A0"/>
          <w:sz w:val="32"/>
          <w:szCs w:val="32"/>
          <w:lang w:eastAsia="en-NZ"/>
        </w:rPr>
        <w:t>Roman Catholic – Lutheran Dialogue</w:t>
      </w:r>
    </w:p>
    <w:p w14:paraId="72B9AACE" w14:textId="11D1E062" w:rsidR="00D8075F" w:rsidRPr="00D8075F" w:rsidRDefault="00D8075F" w:rsidP="00D8075F">
      <w:pPr>
        <w:shd w:val="clear" w:color="auto" w:fill="FFFFFF"/>
        <w:spacing w:before="225" w:after="240" w:line="240" w:lineRule="auto"/>
        <w:rPr>
          <w:rFonts w:eastAsia="Times New Roman"/>
          <w:b w:val="0"/>
          <w:color w:val="484F57"/>
          <w:sz w:val="24"/>
          <w:szCs w:val="24"/>
          <w:lang w:eastAsia="en-NZ"/>
        </w:rPr>
      </w:pPr>
      <w:r w:rsidRPr="00D8075F">
        <w:rPr>
          <w:rFonts w:eastAsia="Times New Roman"/>
          <w:bCs/>
          <w:color w:val="484F57"/>
          <w:sz w:val="24"/>
          <w:szCs w:val="24"/>
          <w:lang w:eastAsia="en-NZ"/>
        </w:rPr>
        <w:t>Dialogue partner</w:t>
      </w:r>
      <w:r w:rsidRPr="00D8075F">
        <w:rPr>
          <w:rFonts w:eastAsia="Times New Roman"/>
          <w:b w:val="0"/>
          <w:color w:val="484F57"/>
          <w:sz w:val="24"/>
          <w:szCs w:val="24"/>
          <w:lang w:eastAsia="en-NZ"/>
        </w:rPr>
        <w:t> | Pontifical Council for Promoting Christian Unity</w:t>
      </w:r>
    </w:p>
    <w:p w14:paraId="57DA9D5E" w14:textId="77777777" w:rsidR="00D8075F" w:rsidRPr="00D8075F" w:rsidRDefault="00D8075F" w:rsidP="00D8075F">
      <w:pPr>
        <w:shd w:val="clear" w:color="auto" w:fill="FFFFFF"/>
        <w:spacing w:before="225" w:after="240" w:line="240" w:lineRule="auto"/>
        <w:rPr>
          <w:rFonts w:eastAsia="Times New Roman"/>
          <w:b w:val="0"/>
          <w:color w:val="484F57"/>
          <w:sz w:val="24"/>
          <w:szCs w:val="24"/>
          <w:lang w:eastAsia="en-NZ"/>
        </w:rPr>
      </w:pPr>
      <w:r w:rsidRPr="00D8075F">
        <w:rPr>
          <w:rFonts w:eastAsia="Times New Roman"/>
          <w:bCs/>
          <w:color w:val="484F57"/>
          <w:sz w:val="24"/>
          <w:szCs w:val="24"/>
          <w:lang w:eastAsia="en-NZ"/>
        </w:rPr>
        <w:t>Dialogue body</w:t>
      </w:r>
      <w:r w:rsidRPr="00D8075F">
        <w:rPr>
          <w:rFonts w:eastAsia="Times New Roman"/>
          <w:b w:val="0"/>
          <w:color w:val="484F57"/>
          <w:sz w:val="24"/>
          <w:szCs w:val="24"/>
          <w:lang w:eastAsia="en-NZ"/>
        </w:rPr>
        <w:t> | Lutheran-Catholic Commission on Unity</w:t>
      </w:r>
    </w:p>
    <w:p w14:paraId="7662DAD2" w14:textId="77777777" w:rsidR="00D8075F" w:rsidRPr="00D8075F" w:rsidRDefault="00D8075F" w:rsidP="00D8075F">
      <w:pPr>
        <w:shd w:val="clear" w:color="auto" w:fill="FFFFFF"/>
        <w:spacing w:before="150" w:after="150" w:line="600" w:lineRule="atLeast"/>
        <w:outlineLvl w:val="2"/>
        <w:rPr>
          <w:rFonts w:eastAsia="Times New Roman"/>
          <w:b w:val="0"/>
          <w:color w:val="484F57"/>
          <w:sz w:val="37"/>
          <w:szCs w:val="37"/>
          <w:lang w:eastAsia="en-NZ"/>
        </w:rPr>
      </w:pPr>
      <w:bookmarkStart w:id="0" w:name="_GoBack"/>
      <w:bookmarkEnd w:id="0"/>
      <w:r w:rsidRPr="00D8075F">
        <w:rPr>
          <w:rFonts w:eastAsia="Times New Roman"/>
          <w:bCs/>
          <w:color w:val="484F57"/>
          <w:sz w:val="37"/>
          <w:szCs w:val="37"/>
          <w:lang w:eastAsia="en-NZ"/>
        </w:rPr>
        <w:t>History</w:t>
      </w:r>
    </w:p>
    <w:p w14:paraId="4971AACA" w14:textId="77777777" w:rsidR="00D8075F" w:rsidRPr="00D8075F" w:rsidRDefault="00D8075F" w:rsidP="00D8075F">
      <w:pPr>
        <w:shd w:val="clear" w:color="auto" w:fill="FFFFFF"/>
        <w:spacing w:before="225" w:after="240" w:line="240" w:lineRule="auto"/>
        <w:rPr>
          <w:rFonts w:eastAsia="Times New Roman"/>
          <w:b w:val="0"/>
          <w:color w:val="484F57"/>
          <w:sz w:val="24"/>
          <w:szCs w:val="24"/>
          <w:lang w:eastAsia="en-NZ"/>
        </w:rPr>
      </w:pPr>
      <w:r w:rsidRPr="00D8075F">
        <w:rPr>
          <w:rFonts w:eastAsia="Times New Roman"/>
          <w:b w:val="0"/>
          <w:color w:val="484F57"/>
          <w:sz w:val="24"/>
          <w:szCs w:val="24"/>
          <w:lang w:eastAsia="en-NZ"/>
        </w:rPr>
        <w:t xml:space="preserve">Contacts established between the LWF and the Roman Catholic Church during the Second Vatican Council led to the formation of the Lutheran-Roman Catholic Working Group, which met in 1965 and 1966. The working group agreed that it was important to </w:t>
      </w:r>
      <w:proofErr w:type="gramStart"/>
      <w:r w:rsidRPr="00D8075F">
        <w:rPr>
          <w:rFonts w:eastAsia="Times New Roman"/>
          <w:b w:val="0"/>
          <w:color w:val="484F57"/>
          <w:sz w:val="24"/>
          <w:szCs w:val="24"/>
          <w:lang w:eastAsia="en-NZ"/>
        </w:rPr>
        <w:t>enter into</w:t>
      </w:r>
      <w:proofErr w:type="gramEnd"/>
      <w:r w:rsidRPr="00D8075F">
        <w:rPr>
          <w:rFonts w:eastAsia="Times New Roman"/>
          <w:b w:val="0"/>
          <w:color w:val="484F57"/>
          <w:sz w:val="24"/>
          <w:szCs w:val="24"/>
          <w:lang w:eastAsia="en-NZ"/>
        </w:rPr>
        <w:t xml:space="preserve"> comprehensive dialogue about the basic issues that separate and unite the two churches.</w:t>
      </w:r>
    </w:p>
    <w:p w14:paraId="28B1F501" w14:textId="77777777" w:rsidR="00D8075F" w:rsidRPr="00D8075F" w:rsidRDefault="00D8075F" w:rsidP="00D8075F">
      <w:pPr>
        <w:shd w:val="clear" w:color="auto" w:fill="FFFFFF"/>
        <w:spacing w:before="225" w:after="240" w:line="240" w:lineRule="auto"/>
        <w:rPr>
          <w:rFonts w:eastAsia="Times New Roman"/>
          <w:b w:val="0"/>
          <w:color w:val="484F57"/>
          <w:sz w:val="24"/>
          <w:szCs w:val="24"/>
          <w:lang w:eastAsia="en-NZ"/>
        </w:rPr>
      </w:pPr>
      <w:r w:rsidRPr="00D8075F">
        <w:rPr>
          <w:rFonts w:eastAsia="Times New Roman"/>
          <w:b w:val="0"/>
          <w:color w:val="484F57"/>
          <w:sz w:val="24"/>
          <w:szCs w:val="24"/>
          <w:lang w:eastAsia="en-NZ"/>
        </w:rPr>
        <w:t>Following the official endorsement of the working group's recommendation by the LWF and the Roman Catholic Church, the Joint Lutheran-Roman Catholic Study Commission met for the first time in 1967.</w:t>
      </w:r>
    </w:p>
    <w:p w14:paraId="4E10F73C" w14:textId="77777777" w:rsidR="00D8075F" w:rsidRPr="00D8075F" w:rsidRDefault="00D8075F" w:rsidP="00D8075F">
      <w:pPr>
        <w:shd w:val="clear" w:color="auto" w:fill="FFFFFF"/>
        <w:spacing w:before="150" w:after="150" w:line="600" w:lineRule="atLeast"/>
        <w:outlineLvl w:val="2"/>
        <w:rPr>
          <w:rFonts w:eastAsia="Times New Roman"/>
          <w:b w:val="0"/>
          <w:color w:val="484F57"/>
          <w:sz w:val="37"/>
          <w:szCs w:val="37"/>
          <w:lang w:eastAsia="en-NZ"/>
        </w:rPr>
      </w:pPr>
      <w:r w:rsidRPr="00D8075F">
        <w:rPr>
          <w:rFonts w:eastAsia="Times New Roman"/>
          <w:bCs/>
          <w:color w:val="484F57"/>
          <w:sz w:val="37"/>
          <w:szCs w:val="37"/>
          <w:lang w:eastAsia="en-NZ"/>
        </w:rPr>
        <w:t>Key Themes</w:t>
      </w:r>
    </w:p>
    <w:p w14:paraId="7BE9AAC2" w14:textId="77777777" w:rsidR="00D8075F" w:rsidRPr="00D8075F" w:rsidRDefault="00D8075F" w:rsidP="00D80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/>
          <w:b w:val="0"/>
          <w:color w:val="484F57"/>
          <w:sz w:val="24"/>
          <w:szCs w:val="24"/>
          <w:lang w:eastAsia="en-NZ"/>
        </w:rPr>
      </w:pPr>
      <w:r w:rsidRPr="00D8075F">
        <w:rPr>
          <w:rFonts w:eastAsia="Times New Roman"/>
          <w:b w:val="0"/>
          <w:color w:val="484F57"/>
          <w:sz w:val="24"/>
          <w:szCs w:val="24"/>
          <w:lang w:eastAsia="en-NZ"/>
        </w:rPr>
        <w:t>Gospel</w:t>
      </w:r>
    </w:p>
    <w:p w14:paraId="4E48DF3E" w14:textId="77777777" w:rsidR="00D8075F" w:rsidRPr="00D8075F" w:rsidRDefault="00D8075F" w:rsidP="00D80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/>
          <w:b w:val="0"/>
          <w:color w:val="484F57"/>
          <w:sz w:val="24"/>
          <w:szCs w:val="24"/>
          <w:lang w:eastAsia="en-NZ"/>
        </w:rPr>
      </w:pPr>
      <w:r w:rsidRPr="00D8075F">
        <w:rPr>
          <w:rFonts w:eastAsia="Times New Roman"/>
          <w:b w:val="0"/>
          <w:color w:val="484F57"/>
          <w:sz w:val="24"/>
          <w:szCs w:val="24"/>
          <w:lang w:eastAsia="en-NZ"/>
        </w:rPr>
        <w:t>Church</w:t>
      </w:r>
    </w:p>
    <w:p w14:paraId="5CA936A5" w14:textId="77777777" w:rsidR="00D8075F" w:rsidRPr="00D8075F" w:rsidRDefault="00D8075F" w:rsidP="00D80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/>
          <w:b w:val="0"/>
          <w:color w:val="484F57"/>
          <w:sz w:val="24"/>
          <w:szCs w:val="24"/>
          <w:lang w:eastAsia="en-NZ"/>
        </w:rPr>
      </w:pPr>
      <w:r w:rsidRPr="00D8075F">
        <w:rPr>
          <w:rFonts w:eastAsia="Times New Roman"/>
          <w:b w:val="0"/>
          <w:color w:val="484F57"/>
          <w:sz w:val="24"/>
          <w:szCs w:val="24"/>
          <w:lang w:eastAsia="en-NZ"/>
        </w:rPr>
        <w:t>Eucharist</w:t>
      </w:r>
    </w:p>
    <w:p w14:paraId="62A25213" w14:textId="77777777" w:rsidR="00D8075F" w:rsidRPr="00D8075F" w:rsidRDefault="00D8075F" w:rsidP="00D80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/>
          <w:b w:val="0"/>
          <w:color w:val="484F57"/>
          <w:sz w:val="24"/>
          <w:szCs w:val="24"/>
          <w:lang w:eastAsia="en-NZ"/>
        </w:rPr>
      </w:pPr>
      <w:r w:rsidRPr="00D8075F">
        <w:rPr>
          <w:rFonts w:eastAsia="Times New Roman"/>
          <w:b w:val="0"/>
          <w:color w:val="484F57"/>
          <w:sz w:val="24"/>
          <w:szCs w:val="24"/>
          <w:lang w:eastAsia="en-NZ"/>
        </w:rPr>
        <w:t>Ministry</w:t>
      </w:r>
    </w:p>
    <w:p w14:paraId="08337F98" w14:textId="77777777" w:rsidR="00D8075F" w:rsidRPr="00D8075F" w:rsidRDefault="00D8075F" w:rsidP="00D80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/>
          <w:b w:val="0"/>
          <w:color w:val="484F57"/>
          <w:sz w:val="24"/>
          <w:szCs w:val="24"/>
          <w:lang w:eastAsia="en-NZ"/>
        </w:rPr>
      </w:pPr>
      <w:r w:rsidRPr="00D8075F">
        <w:rPr>
          <w:rFonts w:eastAsia="Times New Roman"/>
          <w:b w:val="0"/>
          <w:color w:val="484F57"/>
          <w:sz w:val="24"/>
          <w:szCs w:val="24"/>
          <w:lang w:eastAsia="en-NZ"/>
        </w:rPr>
        <w:t>Justification</w:t>
      </w:r>
    </w:p>
    <w:p w14:paraId="3AB291C8" w14:textId="77777777" w:rsidR="00D8075F" w:rsidRPr="00D8075F" w:rsidRDefault="00D8075F" w:rsidP="00D80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/>
          <w:b w:val="0"/>
          <w:color w:val="484F57"/>
          <w:sz w:val="24"/>
          <w:szCs w:val="24"/>
          <w:lang w:eastAsia="en-NZ"/>
        </w:rPr>
      </w:pPr>
      <w:r w:rsidRPr="00D8075F">
        <w:rPr>
          <w:rFonts w:eastAsia="Times New Roman"/>
          <w:b w:val="0"/>
          <w:color w:val="484F57"/>
          <w:sz w:val="24"/>
          <w:szCs w:val="24"/>
          <w:lang w:eastAsia="en-NZ"/>
        </w:rPr>
        <w:t>Apostolicity of the Church</w:t>
      </w:r>
    </w:p>
    <w:p w14:paraId="6F8F7BE5" w14:textId="77777777" w:rsidR="00D8075F" w:rsidRPr="00D8075F" w:rsidRDefault="00D8075F" w:rsidP="00D80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/>
          <w:b w:val="0"/>
          <w:color w:val="484F57"/>
          <w:sz w:val="24"/>
          <w:szCs w:val="24"/>
          <w:lang w:eastAsia="en-NZ"/>
        </w:rPr>
      </w:pPr>
      <w:r w:rsidRPr="00D8075F">
        <w:rPr>
          <w:rFonts w:eastAsia="Times New Roman"/>
          <w:b w:val="0"/>
          <w:color w:val="484F57"/>
          <w:sz w:val="24"/>
          <w:szCs w:val="24"/>
          <w:lang w:eastAsia="en-NZ"/>
        </w:rPr>
        <w:t>Baptism</w:t>
      </w:r>
    </w:p>
    <w:p w14:paraId="6E910304" w14:textId="77777777" w:rsidR="00D8075F" w:rsidRPr="00D8075F" w:rsidRDefault="00D8075F" w:rsidP="00D8075F">
      <w:pPr>
        <w:shd w:val="clear" w:color="auto" w:fill="FFFFFF"/>
        <w:spacing w:before="150" w:after="150" w:line="600" w:lineRule="atLeast"/>
        <w:outlineLvl w:val="2"/>
        <w:rPr>
          <w:rFonts w:eastAsia="Times New Roman"/>
          <w:b w:val="0"/>
          <w:color w:val="484F57"/>
          <w:sz w:val="37"/>
          <w:szCs w:val="37"/>
          <w:lang w:eastAsia="en-NZ"/>
        </w:rPr>
      </w:pPr>
      <w:r w:rsidRPr="00D8075F">
        <w:rPr>
          <w:rFonts w:eastAsia="Times New Roman"/>
          <w:bCs/>
          <w:color w:val="484F57"/>
          <w:sz w:val="37"/>
          <w:szCs w:val="37"/>
          <w:lang w:eastAsia="en-NZ"/>
        </w:rPr>
        <w:t>International Dialogue Milestones</w:t>
      </w:r>
    </w:p>
    <w:p w14:paraId="4C2D8FFC" w14:textId="77777777" w:rsidR="00D8075F" w:rsidRDefault="00D8075F" w:rsidP="00D8075F">
      <w:pPr>
        <w:pStyle w:val="NormalWeb"/>
        <w:shd w:val="clear" w:color="auto" w:fill="FFFFFF"/>
        <w:spacing w:before="225" w:beforeAutospacing="0" w:after="240" w:afterAutospacing="0"/>
        <w:rPr>
          <w:rFonts w:ascii="Arial" w:hAnsi="Arial" w:cs="Arial"/>
          <w:color w:val="484F57"/>
        </w:rPr>
      </w:pPr>
      <w:r>
        <w:rPr>
          <w:rFonts w:ascii="Arial" w:hAnsi="Arial" w:cs="Arial"/>
          <w:color w:val="484F57"/>
        </w:rPr>
        <w:t>Published reports of the international Lutheran-Roman Catholic dialogue</w:t>
      </w:r>
    </w:p>
    <w:p w14:paraId="0AF9A72B" w14:textId="77777777" w:rsidR="00D8075F" w:rsidRDefault="00D8075F" w:rsidP="00D8075F">
      <w:pPr>
        <w:pStyle w:val="NormalWeb"/>
        <w:shd w:val="clear" w:color="auto" w:fill="FFFFFF"/>
        <w:spacing w:before="225" w:beforeAutospacing="0" w:after="240" w:afterAutospacing="0"/>
        <w:rPr>
          <w:rFonts w:ascii="Arial" w:hAnsi="Arial" w:cs="Arial"/>
          <w:color w:val="484F57"/>
        </w:rPr>
      </w:pPr>
      <w:r>
        <w:rPr>
          <w:rStyle w:val="Strong"/>
          <w:rFonts w:ascii="Arial" w:hAnsi="Arial" w:cs="Arial"/>
          <w:color w:val="484F57"/>
        </w:rPr>
        <w:t>Phase I (1967-1972)</w:t>
      </w:r>
    </w:p>
    <w:p w14:paraId="268ED053" w14:textId="77777777" w:rsidR="00D8075F" w:rsidRDefault="00D8075F" w:rsidP="00D8075F">
      <w:pPr>
        <w:pStyle w:val="NormalWeb"/>
        <w:shd w:val="clear" w:color="auto" w:fill="FFFFFF"/>
        <w:spacing w:before="225" w:beforeAutospacing="0" w:after="240" w:afterAutospacing="0"/>
        <w:rPr>
          <w:rFonts w:ascii="Arial" w:hAnsi="Arial" w:cs="Arial"/>
          <w:color w:val="484F57"/>
        </w:rPr>
      </w:pPr>
      <w:r>
        <w:rPr>
          <w:rFonts w:ascii="Arial" w:hAnsi="Arial" w:cs="Arial"/>
          <w:color w:val="484F57"/>
        </w:rPr>
        <w:t>1972 | </w:t>
      </w:r>
      <w:hyperlink r:id="rId5" w:history="1">
        <w:r>
          <w:rPr>
            <w:rStyle w:val="Emphasis"/>
            <w:rFonts w:ascii="Arial" w:hAnsi="Arial" w:cs="Arial"/>
            <w:color w:val="7493C7"/>
          </w:rPr>
          <w:t>The Gospel and the Church (Malta report)</w:t>
        </w:r>
      </w:hyperlink>
    </w:p>
    <w:p w14:paraId="4FDAC05E" w14:textId="77777777" w:rsidR="00D8075F" w:rsidRDefault="00D8075F" w:rsidP="00D8075F">
      <w:pPr>
        <w:pStyle w:val="NormalWeb"/>
        <w:shd w:val="clear" w:color="auto" w:fill="FFFFFF"/>
        <w:spacing w:before="225" w:beforeAutospacing="0" w:after="240" w:afterAutospacing="0"/>
        <w:rPr>
          <w:rFonts w:ascii="Arial" w:hAnsi="Arial" w:cs="Arial"/>
          <w:color w:val="484F57"/>
        </w:rPr>
      </w:pPr>
      <w:r>
        <w:rPr>
          <w:rStyle w:val="Strong"/>
          <w:rFonts w:ascii="Arial" w:hAnsi="Arial" w:cs="Arial"/>
          <w:color w:val="484F57"/>
        </w:rPr>
        <w:t>Phase II (1973-1984)</w:t>
      </w:r>
    </w:p>
    <w:p w14:paraId="1612A32D" w14:textId="77777777" w:rsidR="00D8075F" w:rsidRDefault="00D8075F" w:rsidP="00D8075F">
      <w:pPr>
        <w:pStyle w:val="NormalWeb"/>
        <w:shd w:val="clear" w:color="auto" w:fill="FFFFFF"/>
        <w:spacing w:before="225" w:beforeAutospacing="0" w:after="240" w:afterAutospacing="0"/>
        <w:rPr>
          <w:rFonts w:ascii="Arial" w:hAnsi="Arial" w:cs="Arial"/>
          <w:color w:val="484F57"/>
        </w:rPr>
      </w:pPr>
      <w:r>
        <w:rPr>
          <w:rFonts w:ascii="Arial" w:hAnsi="Arial" w:cs="Arial"/>
          <w:color w:val="484F57"/>
        </w:rPr>
        <w:t>1978 | </w:t>
      </w:r>
      <w:hyperlink r:id="rId6" w:history="1">
        <w:r>
          <w:rPr>
            <w:rStyle w:val="Emphasis"/>
            <w:rFonts w:ascii="Arial" w:hAnsi="Arial" w:cs="Arial"/>
            <w:color w:val="7493C7"/>
          </w:rPr>
          <w:t>The Eucharist</w:t>
        </w:r>
      </w:hyperlink>
    </w:p>
    <w:p w14:paraId="640AC4B2" w14:textId="77777777" w:rsidR="00D8075F" w:rsidRDefault="00D8075F" w:rsidP="00D8075F">
      <w:pPr>
        <w:pStyle w:val="NormalWeb"/>
        <w:shd w:val="clear" w:color="auto" w:fill="FFFFFF"/>
        <w:spacing w:before="225" w:beforeAutospacing="0" w:after="240" w:afterAutospacing="0"/>
        <w:rPr>
          <w:rFonts w:ascii="Arial" w:hAnsi="Arial" w:cs="Arial"/>
          <w:color w:val="484F57"/>
        </w:rPr>
      </w:pPr>
      <w:r>
        <w:rPr>
          <w:rFonts w:ascii="Arial" w:hAnsi="Arial" w:cs="Arial"/>
          <w:color w:val="484F57"/>
        </w:rPr>
        <w:t>1980 | </w:t>
      </w:r>
      <w:hyperlink r:id="rId7" w:history="1">
        <w:r>
          <w:rPr>
            <w:rStyle w:val="Emphasis"/>
            <w:rFonts w:ascii="Arial" w:hAnsi="Arial" w:cs="Arial"/>
            <w:color w:val="7493C7"/>
          </w:rPr>
          <w:t>All Under One Christ</w:t>
        </w:r>
      </w:hyperlink>
    </w:p>
    <w:p w14:paraId="0C28C838" w14:textId="77777777" w:rsidR="00D8075F" w:rsidRDefault="00D8075F" w:rsidP="00D8075F">
      <w:pPr>
        <w:pStyle w:val="NormalWeb"/>
        <w:shd w:val="clear" w:color="auto" w:fill="FFFFFF"/>
        <w:spacing w:before="225" w:beforeAutospacing="0" w:after="240" w:afterAutospacing="0"/>
        <w:rPr>
          <w:rFonts w:ascii="Arial" w:hAnsi="Arial" w:cs="Arial"/>
          <w:color w:val="484F57"/>
        </w:rPr>
      </w:pPr>
      <w:r>
        <w:rPr>
          <w:rFonts w:ascii="Arial" w:hAnsi="Arial" w:cs="Arial"/>
          <w:color w:val="484F57"/>
        </w:rPr>
        <w:t>1980 | </w:t>
      </w:r>
      <w:hyperlink r:id="rId8" w:history="1">
        <w:r>
          <w:rPr>
            <w:rStyle w:val="Emphasis"/>
            <w:rFonts w:ascii="Arial" w:hAnsi="Arial" w:cs="Arial"/>
            <w:color w:val="7493C7"/>
          </w:rPr>
          <w:t>Ways to Community</w:t>
        </w:r>
      </w:hyperlink>
    </w:p>
    <w:p w14:paraId="1395C0DF" w14:textId="77777777" w:rsidR="00D8075F" w:rsidRDefault="00D8075F" w:rsidP="00D8075F">
      <w:pPr>
        <w:pStyle w:val="NormalWeb"/>
        <w:shd w:val="clear" w:color="auto" w:fill="FFFFFF"/>
        <w:spacing w:before="225" w:beforeAutospacing="0" w:after="240" w:afterAutospacing="0"/>
        <w:rPr>
          <w:rFonts w:ascii="Arial" w:hAnsi="Arial" w:cs="Arial"/>
          <w:color w:val="484F57"/>
        </w:rPr>
      </w:pPr>
      <w:r>
        <w:rPr>
          <w:rFonts w:ascii="Arial" w:hAnsi="Arial" w:cs="Arial"/>
          <w:color w:val="484F57"/>
        </w:rPr>
        <w:t>1981 | </w:t>
      </w:r>
      <w:hyperlink r:id="rId9" w:history="1">
        <w:r>
          <w:rPr>
            <w:rStyle w:val="Emphasis"/>
            <w:rFonts w:ascii="Arial" w:hAnsi="Arial" w:cs="Arial"/>
            <w:color w:val="7493C7"/>
          </w:rPr>
          <w:t>The Ministry in the Church</w:t>
        </w:r>
      </w:hyperlink>
    </w:p>
    <w:p w14:paraId="7314EB26" w14:textId="77777777" w:rsidR="00D8075F" w:rsidRDefault="00D8075F" w:rsidP="00D8075F">
      <w:pPr>
        <w:pStyle w:val="NormalWeb"/>
        <w:shd w:val="clear" w:color="auto" w:fill="FFFFFF"/>
        <w:spacing w:before="225" w:beforeAutospacing="0" w:after="240" w:afterAutospacing="0"/>
        <w:rPr>
          <w:rFonts w:ascii="Arial" w:hAnsi="Arial" w:cs="Arial"/>
          <w:color w:val="484F57"/>
        </w:rPr>
      </w:pPr>
      <w:r>
        <w:rPr>
          <w:rFonts w:ascii="Arial" w:hAnsi="Arial" w:cs="Arial"/>
          <w:color w:val="484F57"/>
        </w:rPr>
        <w:t>1983 | </w:t>
      </w:r>
      <w:hyperlink r:id="rId10" w:history="1">
        <w:r>
          <w:rPr>
            <w:rStyle w:val="Emphasis"/>
            <w:rFonts w:ascii="Arial" w:hAnsi="Arial" w:cs="Arial"/>
            <w:color w:val="7493C7"/>
          </w:rPr>
          <w:t>Martin Luther – Witness to Christ</w:t>
        </w:r>
      </w:hyperlink>
    </w:p>
    <w:p w14:paraId="048DFD3B" w14:textId="77777777" w:rsidR="00D8075F" w:rsidRDefault="00D8075F" w:rsidP="00D8075F">
      <w:pPr>
        <w:pStyle w:val="NormalWeb"/>
        <w:shd w:val="clear" w:color="auto" w:fill="FFFFFF"/>
        <w:spacing w:before="225" w:beforeAutospacing="0" w:after="240" w:afterAutospacing="0"/>
        <w:rPr>
          <w:rFonts w:ascii="Arial" w:hAnsi="Arial" w:cs="Arial"/>
          <w:color w:val="484F57"/>
        </w:rPr>
      </w:pPr>
      <w:r>
        <w:rPr>
          <w:rFonts w:ascii="Arial" w:hAnsi="Arial" w:cs="Arial"/>
          <w:color w:val="484F57"/>
        </w:rPr>
        <w:t>1984 | </w:t>
      </w:r>
      <w:hyperlink r:id="rId11" w:history="1">
        <w:r>
          <w:rPr>
            <w:rStyle w:val="Emphasis"/>
            <w:rFonts w:ascii="Arial" w:hAnsi="Arial" w:cs="Arial"/>
            <w:color w:val="7493C7"/>
          </w:rPr>
          <w:t>Facing Unity – Models, Forms and Phases of Catholic-Lutheran Church Fellowship</w:t>
        </w:r>
      </w:hyperlink>
    </w:p>
    <w:p w14:paraId="56386D9D" w14:textId="77777777" w:rsidR="00D8075F" w:rsidRDefault="00D8075F" w:rsidP="00D8075F">
      <w:pPr>
        <w:pStyle w:val="NormalWeb"/>
        <w:shd w:val="clear" w:color="auto" w:fill="FFFFFF"/>
        <w:spacing w:before="225" w:beforeAutospacing="0" w:after="240" w:afterAutospacing="0"/>
        <w:rPr>
          <w:rFonts w:ascii="Arial" w:hAnsi="Arial" w:cs="Arial"/>
          <w:color w:val="484F57"/>
        </w:rPr>
      </w:pPr>
      <w:r>
        <w:rPr>
          <w:rStyle w:val="Strong"/>
          <w:rFonts w:ascii="Arial" w:hAnsi="Arial" w:cs="Arial"/>
          <w:color w:val="484F57"/>
        </w:rPr>
        <w:t>Phase III (1986-1993)</w:t>
      </w:r>
    </w:p>
    <w:p w14:paraId="4DD20E2E" w14:textId="77777777" w:rsidR="00D8075F" w:rsidRDefault="00D8075F" w:rsidP="00D8075F">
      <w:pPr>
        <w:pStyle w:val="NormalWeb"/>
        <w:shd w:val="clear" w:color="auto" w:fill="FFFFFF"/>
        <w:spacing w:before="225" w:beforeAutospacing="0" w:after="240" w:afterAutospacing="0"/>
        <w:rPr>
          <w:rFonts w:ascii="Arial" w:hAnsi="Arial" w:cs="Arial"/>
          <w:color w:val="484F57"/>
        </w:rPr>
      </w:pPr>
      <w:r>
        <w:rPr>
          <w:rFonts w:ascii="Arial" w:hAnsi="Arial" w:cs="Arial"/>
          <w:color w:val="484F57"/>
        </w:rPr>
        <w:t>1993 | </w:t>
      </w:r>
      <w:hyperlink r:id="rId12" w:history="1">
        <w:r>
          <w:rPr>
            <w:rStyle w:val="Emphasis"/>
            <w:rFonts w:ascii="Arial" w:hAnsi="Arial" w:cs="Arial"/>
            <w:color w:val="7493C7"/>
          </w:rPr>
          <w:t>Church and Justification</w:t>
        </w:r>
      </w:hyperlink>
    </w:p>
    <w:p w14:paraId="0E76D501" w14:textId="77777777" w:rsidR="00D8075F" w:rsidRDefault="00D8075F" w:rsidP="00D8075F">
      <w:pPr>
        <w:pStyle w:val="NormalWeb"/>
        <w:shd w:val="clear" w:color="auto" w:fill="FFFFFF"/>
        <w:spacing w:before="225" w:beforeAutospacing="0" w:after="240" w:afterAutospacing="0"/>
        <w:rPr>
          <w:rFonts w:ascii="Arial" w:hAnsi="Arial" w:cs="Arial"/>
          <w:color w:val="484F57"/>
        </w:rPr>
      </w:pPr>
      <w:r>
        <w:rPr>
          <w:rStyle w:val="Strong"/>
          <w:rFonts w:ascii="Arial" w:hAnsi="Arial" w:cs="Arial"/>
          <w:color w:val="484F57"/>
        </w:rPr>
        <w:t>Phase IV (1995-2006)</w:t>
      </w:r>
    </w:p>
    <w:p w14:paraId="7FD6361D" w14:textId="77777777" w:rsidR="00D8075F" w:rsidRDefault="00D8075F" w:rsidP="00D8075F">
      <w:pPr>
        <w:pStyle w:val="NormalWeb"/>
        <w:shd w:val="clear" w:color="auto" w:fill="FFFFFF"/>
        <w:spacing w:before="225" w:beforeAutospacing="0" w:after="240" w:afterAutospacing="0"/>
        <w:rPr>
          <w:rFonts w:ascii="Arial" w:hAnsi="Arial" w:cs="Arial"/>
          <w:color w:val="484F57"/>
        </w:rPr>
      </w:pPr>
      <w:r>
        <w:rPr>
          <w:rFonts w:ascii="Arial" w:hAnsi="Arial" w:cs="Arial"/>
          <w:color w:val="484F57"/>
        </w:rPr>
        <w:lastRenderedPageBreak/>
        <w:t>1999 | </w:t>
      </w:r>
      <w:hyperlink r:id="rId13" w:history="1">
        <w:r>
          <w:rPr>
            <w:rStyle w:val="Emphasis"/>
            <w:rFonts w:ascii="Arial" w:hAnsi="Arial" w:cs="Arial"/>
            <w:color w:val="7493C7"/>
          </w:rPr>
          <w:t>The Joint Declaration on the Doctrine of Justification</w:t>
        </w:r>
      </w:hyperlink>
    </w:p>
    <w:p w14:paraId="57E703EC" w14:textId="77777777" w:rsidR="00D8075F" w:rsidRDefault="00D8075F" w:rsidP="00D8075F">
      <w:pPr>
        <w:pStyle w:val="NormalWeb"/>
        <w:shd w:val="clear" w:color="auto" w:fill="FFFFFF"/>
        <w:spacing w:before="225" w:beforeAutospacing="0" w:after="240" w:afterAutospacing="0"/>
        <w:rPr>
          <w:rFonts w:ascii="Arial" w:hAnsi="Arial" w:cs="Arial"/>
          <w:color w:val="484F57"/>
        </w:rPr>
      </w:pPr>
      <w:r>
        <w:rPr>
          <w:rFonts w:ascii="Arial" w:hAnsi="Arial" w:cs="Arial"/>
          <w:color w:val="484F57"/>
        </w:rPr>
        <w:t>2006 | </w:t>
      </w:r>
      <w:hyperlink r:id="rId14" w:history="1">
        <w:r>
          <w:rPr>
            <w:rStyle w:val="Emphasis"/>
            <w:rFonts w:ascii="Arial" w:hAnsi="Arial" w:cs="Arial"/>
            <w:color w:val="7493C7"/>
          </w:rPr>
          <w:t>The Apostolicity of the Church</w:t>
        </w:r>
      </w:hyperlink>
    </w:p>
    <w:p w14:paraId="548E6BA5" w14:textId="77777777" w:rsidR="00D8075F" w:rsidRDefault="00D8075F" w:rsidP="00D8075F">
      <w:pPr>
        <w:pStyle w:val="NormalWeb"/>
        <w:shd w:val="clear" w:color="auto" w:fill="FFFFFF"/>
        <w:spacing w:before="225" w:beforeAutospacing="0" w:after="240" w:afterAutospacing="0"/>
        <w:rPr>
          <w:rFonts w:ascii="Arial" w:hAnsi="Arial" w:cs="Arial"/>
          <w:color w:val="484F57"/>
        </w:rPr>
      </w:pPr>
      <w:r>
        <w:rPr>
          <w:rStyle w:val="Strong"/>
          <w:rFonts w:ascii="Arial" w:hAnsi="Arial" w:cs="Arial"/>
          <w:color w:val="484F57"/>
        </w:rPr>
        <w:t>Phase V (2009-present)</w:t>
      </w:r>
    </w:p>
    <w:p w14:paraId="76C47CE5" w14:textId="77777777" w:rsidR="00D8075F" w:rsidRDefault="00D8075F" w:rsidP="00D8075F">
      <w:pPr>
        <w:pStyle w:val="NormalWeb"/>
        <w:shd w:val="clear" w:color="auto" w:fill="FFFFFF"/>
        <w:spacing w:before="225" w:beforeAutospacing="0" w:after="240" w:afterAutospacing="0"/>
        <w:rPr>
          <w:rFonts w:ascii="Arial" w:hAnsi="Arial" w:cs="Arial"/>
          <w:color w:val="484F57"/>
        </w:rPr>
      </w:pPr>
      <w:r>
        <w:rPr>
          <w:rFonts w:ascii="Arial" w:hAnsi="Arial" w:cs="Arial"/>
          <w:color w:val="484F57"/>
        </w:rPr>
        <w:t>2012 | </w:t>
      </w:r>
      <w:hyperlink r:id="rId15" w:history="1">
        <w:r>
          <w:rPr>
            <w:rStyle w:val="Emphasis"/>
            <w:rFonts w:ascii="Arial" w:hAnsi="Arial" w:cs="Arial"/>
            <w:color w:val="7493C7"/>
          </w:rPr>
          <w:t>From Conflict to Communion: Lutheran-Catholic Common Commemoration of the Reformation in 2017</w:t>
        </w:r>
      </w:hyperlink>
      <w:r>
        <w:rPr>
          <w:rFonts w:ascii="Arial" w:hAnsi="Arial" w:cs="Arial"/>
          <w:color w:val="484F57"/>
        </w:rPr>
        <w:t> -  Published by the Lutheran-Roman Catholic Commission on Unity in the context of the 2017 commemoration of the 500th anniversary of the Reformation, and the 50th anniversary of dialogue between Lutherans and Catholics</w:t>
      </w:r>
    </w:p>
    <w:p w14:paraId="6AF842DE" w14:textId="77777777" w:rsidR="004A662F" w:rsidRDefault="004A662F"/>
    <w:sectPr w:rsidR="004A662F" w:rsidSect="0016461E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0A5F"/>
    <w:multiLevelType w:val="multilevel"/>
    <w:tmpl w:val="05FC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5F"/>
    <w:rsid w:val="0016461E"/>
    <w:rsid w:val="001C5473"/>
    <w:rsid w:val="004A662F"/>
    <w:rsid w:val="00757B0A"/>
    <w:rsid w:val="00D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CA51"/>
  <w15:chartTrackingRefBased/>
  <w15:docId w15:val="{C26385A2-FB8D-45FB-A2FD-A19134DD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color w:val="000000" w:themeColor="text1"/>
        <w:sz w:val="28"/>
        <w:szCs w:val="2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807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Cs/>
      <w:color w:val="auto"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D8075F"/>
    <w:rPr>
      <w:b w:val="0"/>
      <w:bCs/>
    </w:rPr>
  </w:style>
  <w:style w:type="character" w:styleId="Emphasis">
    <w:name w:val="Emphasis"/>
    <w:basedOn w:val="DefaultParagraphFont"/>
    <w:uiPriority w:val="20"/>
    <w:qFormat/>
    <w:rsid w:val="00D8075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8075F"/>
    <w:rPr>
      <w:rFonts w:ascii="Times New Roman" w:eastAsia="Times New Roman" w:hAnsi="Times New Roman" w:cs="Times New Roman"/>
      <w:bCs/>
      <w:color w:val="auto"/>
      <w:sz w:val="27"/>
      <w:szCs w:val="27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unione.urbe.it/dia-int/l-rc/doc/e_l-rc_way.html" TargetMode="External"/><Relationship Id="rId13" Type="http://schemas.openxmlformats.org/officeDocument/2006/relationships/hyperlink" Target="http://www.prounione.urbe.it/dia-int/l-rc/doc/e_l-rc_ju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unione.urbe.it/dia-int/l-rc/doc/e_l-rc_onechrist.html" TargetMode="External"/><Relationship Id="rId12" Type="http://schemas.openxmlformats.org/officeDocument/2006/relationships/hyperlink" Target="http://www.prounione.urbe.it/dia-int/l-rc/doc/e_l-rc_church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ounione.urbe.it/dia-int/l-rc/doc/e_l-rc_eucharist.html" TargetMode="External"/><Relationship Id="rId11" Type="http://schemas.openxmlformats.org/officeDocument/2006/relationships/hyperlink" Target="http://www.prounione.urbe.it/dia-int/l-rc/doc/e_l-rc_facing.html" TargetMode="External"/><Relationship Id="rId5" Type="http://schemas.openxmlformats.org/officeDocument/2006/relationships/hyperlink" Target="http://www.prounione.urbe.it/dia-int/l-rc/doc/e_l-rc_malta.html" TargetMode="External"/><Relationship Id="rId15" Type="http://schemas.openxmlformats.org/officeDocument/2006/relationships/hyperlink" Target="http://www.lutheranworld.org/content/resource-conflict-communion-basis-lutheran-catholic-commemoration-reformation-2017" TargetMode="External"/><Relationship Id="rId10" Type="http://schemas.openxmlformats.org/officeDocument/2006/relationships/hyperlink" Target="http://www.prounione.urbe.it/dia-int/l-rc/doc/e_l-rc_luth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unione.urbe.it/dia-int/l-rc/doc/e_l-rc_ministry.html" TargetMode="External"/><Relationship Id="rId14" Type="http://schemas.openxmlformats.org/officeDocument/2006/relationships/hyperlink" Target="http://www.prounione.urbe.it/dia-int/l-rc/doc/e_l-rc_ap-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Smith</dc:creator>
  <cp:keywords/>
  <dc:description/>
  <cp:lastModifiedBy>Lyn Smith</cp:lastModifiedBy>
  <cp:revision>2</cp:revision>
  <dcterms:created xsi:type="dcterms:W3CDTF">2017-10-02T00:52:00Z</dcterms:created>
  <dcterms:modified xsi:type="dcterms:W3CDTF">2017-10-02T00:55:00Z</dcterms:modified>
</cp:coreProperties>
</file>